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57272C" w:rsidP="00287F65">
      <w:pPr>
        <w:ind w:firstLine="540"/>
        <w:jc w:val="right"/>
        <w:rPr>
          <w:sz w:val="27"/>
          <w:szCs w:val="27"/>
        </w:rPr>
      </w:pPr>
      <w:r w:rsidRPr="0057272C">
        <w:rPr>
          <w:sz w:val="27"/>
          <w:szCs w:val="27"/>
        </w:rPr>
        <w:t xml:space="preserve">                                                              Дело № 5-</w:t>
      </w:r>
      <w:r w:rsidRPr="0057272C" w:rsidR="008C1007">
        <w:rPr>
          <w:sz w:val="27"/>
          <w:szCs w:val="27"/>
        </w:rPr>
        <w:t>1150</w:t>
      </w:r>
      <w:r w:rsidRPr="0057272C" w:rsidR="00A53AF3">
        <w:rPr>
          <w:sz w:val="27"/>
          <w:szCs w:val="27"/>
        </w:rPr>
        <w:t>-210</w:t>
      </w:r>
      <w:r w:rsidRPr="0057272C" w:rsidR="00722572">
        <w:rPr>
          <w:sz w:val="27"/>
          <w:szCs w:val="27"/>
        </w:rPr>
        <w:t>5</w:t>
      </w:r>
      <w:r w:rsidRPr="0057272C">
        <w:rPr>
          <w:sz w:val="27"/>
          <w:szCs w:val="27"/>
        </w:rPr>
        <w:t>/20</w:t>
      </w:r>
      <w:r w:rsidRPr="0057272C" w:rsidR="00472877">
        <w:rPr>
          <w:sz w:val="27"/>
          <w:szCs w:val="27"/>
        </w:rPr>
        <w:t>2</w:t>
      </w:r>
      <w:r w:rsidRPr="0057272C" w:rsidR="00722572">
        <w:rPr>
          <w:sz w:val="27"/>
          <w:szCs w:val="27"/>
        </w:rPr>
        <w:t>5</w:t>
      </w:r>
    </w:p>
    <w:p w:rsidR="00A6748D" w:rsidRPr="0057272C" w:rsidP="00A6748D">
      <w:pPr>
        <w:ind w:firstLine="540"/>
        <w:jc w:val="right"/>
        <w:rPr>
          <w:sz w:val="27"/>
          <w:szCs w:val="27"/>
        </w:rPr>
      </w:pPr>
      <w:r w:rsidRPr="0057272C">
        <w:rPr>
          <w:sz w:val="27"/>
          <w:szCs w:val="27"/>
        </w:rPr>
        <w:t>86MS0045-01-2025-005412-13</w:t>
      </w:r>
    </w:p>
    <w:p w:rsidR="00C5576E" w:rsidRPr="0057272C" w:rsidP="00A6748D">
      <w:pPr>
        <w:ind w:firstLine="540"/>
        <w:jc w:val="right"/>
        <w:rPr>
          <w:sz w:val="27"/>
          <w:szCs w:val="27"/>
        </w:rPr>
      </w:pPr>
      <w:r w:rsidRPr="0057272C">
        <w:rPr>
          <w:sz w:val="27"/>
          <w:szCs w:val="27"/>
        </w:rPr>
        <w:t xml:space="preserve">  </w:t>
      </w:r>
    </w:p>
    <w:p w:rsidR="00C5576E" w:rsidRPr="0057272C" w:rsidP="00287F65">
      <w:pPr>
        <w:jc w:val="center"/>
        <w:rPr>
          <w:sz w:val="27"/>
          <w:szCs w:val="27"/>
        </w:rPr>
      </w:pPr>
      <w:r w:rsidRPr="0057272C">
        <w:rPr>
          <w:sz w:val="27"/>
          <w:szCs w:val="27"/>
        </w:rPr>
        <w:t>ПОСТАНОВЛЕНИЕ</w:t>
      </w:r>
    </w:p>
    <w:p w:rsidR="00C5576E" w:rsidRPr="0057272C" w:rsidP="00287F65">
      <w:pPr>
        <w:jc w:val="center"/>
        <w:rPr>
          <w:sz w:val="27"/>
          <w:szCs w:val="27"/>
        </w:rPr>
      </w:pPr>
      <w:r w:rsidRPr="0057272C">
        <w:rPr>
          <w:sz w:val="27"/>
          <w:szCs w:val="27"/>
        </w:rPr>
        <w:t>по делу об административном правонарушении</w:t>
      </w:r>
    </w:p>
    <w:p w:rsidR="00C5576E" w:rsidRPr="0057272C" w:rsidP="00287F65">
      <w:pPr>
        <w:ind w:firstLine="540"/>
        <w:jc w:val="both"/>
        <w:rPr>
          <w:sz w:val="27"/>
          <w:szCs w:val="27"/>
        </w:rPr>
      </w:pPr>
    </w:p>
    <w:p w:rsidR="00C5576E" w:rsidRPr="0057272C" w:rsidP="00287F65">
      <w:pPr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 г. Нижневартовск                                                                 </w:t>
      </w:r>
      <w:r w:rsidRPr="0057272C" w:rsidR="001C2E09">
        <w:rPr>
          <w:sz w:val="27"/>
          <w:szCs w:val="27"/>
        </w:rPr>
        <w:t xml:space="preserve">       </w:t>
      </w:r>
      <w:r w:rsidRPr="0057272C" w:rsidR="00A53AF3">
        <w:rPr>
          <w:sz w:val="27"/>
          <w:szCs w:val="27"/>
        </w:rPr>
        <w:t xml:space="preserve"> </w:t>
      </w:r>
      <w:r w:rsidRPr="0057272C" w:rsidR="00722572">
        <w:rPr>
          <w:sz w:val="27"/>
          <w:szCs w:val="27"/>
        </w:rPr>
        <w:t>22 октября 2025</w:t>
      </w:r>
      <w:r w:rsidRPr="0057272C">
        <w:rPr>
          <w:sz w:val="27"/>
          <w:szCs w:val="27"/>
        </w:rPr>
        <w:t xml:space="preserve"> года </w:t>
      </w:r>
      <w:r w:rsidRPr="0057272C">
        <w:rPr>
          <w:sz w:val="27"/>
          <w:szCs w:val="27"/>
        </w:rPr>
        <w:tab/>
      </w:r>
      <w:r w:rsidRPr="0057272C">
        <w:rPr>
          <w:sz w:val="27"/>
          <w:szCs w:val="27"/>
        </w:rPr>
        <w:tab/>
      </w:r>
      <w:r w:rsidRPr="0057272C">
        <w:rPr>
          <w:sz w:val="27"/>
          <w:szCs w:val="27"/>
        </w:rPr>
        <w:tab/>
      </w:r>
      <w:r w:rsidRPr="0057272C">
        <w:rPr>
          <w:sz w:val="27"/>
          <w:szCs w:val="27"/>
        </w:rPr>
        <w:tab/>
      </w:r>
      <w:r w:rsidRPr="0057272C">
        <w:rPr>
          <w:sz w:val="27"/>
          <w:szCs w:val="27"/>
        </w:rPr>
        <w:tab/>
        <w:t xml:space="preserve">   </w:t>
      </w:r>
      <w:r w:rsidRPr="0057272C">
        <w:rPr>
          <w:sz w:val="27"/>
          <w:szCs w:val="27"/>
        </w:rPr>
        <w:tab/>
      </w:r>
    </w:p>
    <w:p w:rsidR="001C2E09" w:rsidRPr="0057272C" w:rsidP="001C2E09">
      <w:pPr>
        <w:pStyle w:val="BodyText"/>
        <w:spacing w:after="0"/>
        <w:ind w:firstLine="539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Мировой судья судебного участка № 5 Нижневартовского судебного района города окружного значения Нижневартовска Ханты - Мансийского авто</w:t>
      </w:r>
      <w:r w:rsidRPr="0057272C">
        <w:rPr>
          <w:sz w:val="27"/>
          <w:szCs w:val="27"/>
        </w:rPr>
        <w:t xml:space="preserve">номного округа - Югры Т.А. Лаптева, находящийся по адресу ул. </w:t>
      </w:r>
      <w:r w:rsidRPr="0057272C">
        <w:rPr>
          <w:sz w:val="27"/>
          <w:szCs w:val="27"/>
          <w:lang w:val="ru-RU"/>
        </w:rPr>
        <w:t>Нефтяников</w:t>
      </w:r>
      <w:r w:rsidRPr="0057272C">
        <w:rPr>
          <w:sz w:val="27"/>
          <w:szCs w:val="27"/>
        </w:rPr>
        <w:t>,</w:t>
      </w:r>
      <w:r w:rsidRPr="0057272C">
        <w:rPr>
          <w:sz w:val="27"/>
          <w:szCs w:val="27"/>
          <w:lang w:val="ru-RU"/>
        </w:rPr>
        <w:t xml:space="preserve"> 6</w:t>
      </w:r>
      <w:r w:rsidRPr="0057272C">
        <w:rPr>
          <w:sz w:val="27"/>
          <w:szCs w:val="27"/>
        </w:rPr>
        <w:t>, г. Нижневартовск,</w:t>
      </w:r>
    </w:p>
    <w:p w:rsidR="001C2E09" w:rsidRPr="0057272C" w:rsidP="001C2E09">
      <w:pPr>
        <w:pStyle w:val="BodyText"/>
        <w:spacing w:after="0"/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рассмотрев дело об административном правонарушении в отношении</w:t>
      </w:r>
    </w:p>
    <w:p w:rsidR="00A6748D" w:rsidRPr="0057272C" w:rsidP="00A6748D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Кулеш Екатерины Николаевны, </w:t>
      </w:r>
      <w:r w:rsidR="008B7019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 года рождения, уроженки </w:t>
      </w:r>
      <w:r w:rsidR="008B7019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работающей </w:t>
      </w:r>
      <w:r w:rsidR="008B7019">
        <w:rPr>
          <w:sz w:val="28"/>
          <w:szCs w:val="28"/>
        </w:rPr>
        <w:t>***</w:t>
      </w:r>
      <w:r w:rsidR="008B7019">
        <w:rPr>
          <w:sz w:val="28"/>
          <w:szCs w:val="28"/>
          <w:lang w:val="ru-RU"/>
        </w:rPr>
        <w:t xml:space="preserve"> </w:t>
      </w:r>
      <w:r w:rsidRPr="0057272C">
        <w:rPr>
          <w:sz w:val="27"/>
          <w:szCs w:val="27"/>
          <w:lang w:val="ru-RU"/>
        </w:rPr>
        <w:t xml:space="preserve">зарегистрированной и проживающей </w:t>
      </w:r>
      <w:r w:rsidR="008B7019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ИНН: </w:t>
      </w:r>
      <w:r w:rsidR="008B7019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</w:t>
      </w:r>
    </w:p>
    <w:p w:rsidR="001C2E09" w:rsidRPr="0057272C" w:rsidP="001C2E09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</w:p>
    <w:p w:rsidR="00C5576E" w:rsidRPr="0057272C" w:rsidP="001C2E09">
      <w:pPr>
        <w:pStyle w:val="BodyText"/>
        <w:spacing w:after="0"/>
        <w:ind w:firstLine="539"/>
        <w:jc w:val="center"/>
        <w:rPr>
          <w:sz w:val="27"/>
          <w:szCs w:val="27"/>
        </w:rPr>
      </w:pPr>
      <w:r w:rsidRPr="0057272C">
        <w:rPr>
          <w:sz w:val="27"/>
          <w:szCs w:val="27"/>
        </w:rPr>
        <w:t>УСТАНОВИЛ:</w:t>
      </w:r>
    </w:p>
    <w:p w:rsidR="0022343B" w:rsidRPr="0057272C" w:rsidP="0022343B">
      <w:pPr>
        <w:pStyle w:val="BodyTextIndent"/>
        <w:suppressAutoHyphens/>
        <w:rPr>
          <w:sz w:val="27"/>
          <w:szCs w:val="27"/>
          <w:lang w:val="ru-RU"/>
        </w:rPr>
      </w:pPr>
      <w:r w:rsidRPr="0057272C">
        <w:rPr>
          <w:sz w:val="27"/>
          <w:szCs w:val="27"/>
        </w:rPr>
        <w:t>В ходе п</w:t>
      </w:r>
      <w:r w:rsidRPr="0057272C">
        <w:rPr>
          <w:sz w:val="27"/>
          <w:szCs w:val="27"/>
        </w:rPr>
        <w:t xml:space="preserve">роверки финансово-хозяйственной деятельности учреждения по вопросу </w:t>
      </w:r>
      <w:r w:rsidRPr="0057272C" w:rsidR="008C1007">
        <w:rPr>
          <w:sz w:val="27"/>
          <w:szCs w:val="27"/>
          <w:lang w:val="ru-RU"/>
        </w:rPr>
        <w:t xml:space="preserve">проверки правомерности и обоснованности установления условий оплаты труда, правильности начисления заработной платы работникам учреждения установлено, </w:t>
      </w:r>
      <w:r w:rsidRPr="0057272C" w:rsidR="009F3E76">
        <w:rPr>
          <w:sz w:val="27"/>
          <w:szCs w:val="27"/>
          <w:lang w:val="ru-RU"/>
        </w:rPr>
        <w:t xml:space="preserve">что в период исполнения обязанностей главного бухгалтера муниципального бюджетного дошкольного образовательного учреждения детского сада № 67 «Умка» (далее – учреждение) 31.12.2024 Кулеш Е.Н. </w:t>
      </w:r>
      <w:r w:rsidRPr="0057272C" w:rsidR="004F2FD6">
        <w:rPr>
          <w:sz w:val="27"/>
          <w:szCs w:val="27"/>
          <w:lang w:val="ru-RU"/>
        </w:rPr>
        <w:t>в регистре бухгалтерского учета - журнале операций расчетов по оплате труда, денежному довольствию и стипендиям (ф.0504071) (далее - Журнал операций №6) произвела регистрацию мнимых объектов бухгалтерского учета (не имевших места фактов хозяйственной жизни) по отражению в бухгалтерском учете расходов по начислению заработной платы за 2024 год.</w:t>
      </w:r>
    </w:p>
    <w:p w:rsidR="00F607A8" w:rsidRPr="0057272C" w:rsidP="00416E9A">
      <w:pPr>
        <w:pStyle w:val="BodyTextIndent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При </w:t>
      </w:r>
      <w:r w:rsidRPr="0057272C">
        <w:rPr>
          <w:sz w:val="27"/>
          <w:szCs w:val="27"/>
        </w:rPr>
        <w:t>рассмот</w:t>
      </w:r>
      <w:r w:rsidRPr="0057272C">
        <w:rPr>
          <w:sz w:val="27"/>
          <w:szCs w:val="27"/>
        </w:rPr>
        <w:t>рени</w:t>
      </w:r>
      <w:r w:rsidRPr="0057272C">
        <w:rPr>
          <w:sz w:val="27"/>
          <w:szCs w:val="27"/>
          <w:lang w:val="ru-RU"/>
        </w:rPr>
        <w:t>и</w:t>
      </w:r>
      <w:r w:rsidRPr="0057272C">
        <w:rPr>
          <w:sz w:val="27"/>
          <w:szCs w:val="27"/>
        </w:rPr>
        <w:t xml:space="preserve"> дела об административном правонарушении </w:t>
      </w:r>
      <w:r w:rsidRPr="0057272C" w:rsidR="00FF6505">
        <w:rPr>
          <w:sz w:val="27"/>
          <w:szCs w:val="27"/>
          <w:lang w:val="ru-RU"/>
        </w:rPr>
        <w:t>Кулеш Е.Н.</w:t>
      </w:r>
      <w:r w:rsidRPr="0057272C">
        <w:rPr>
          <w:sz w:val="27"/>
          <w:szCs w:val="27"/>
          <w:lang w:val="ru-RU"/>
        </w:rPr>
        <w:t xml:space="preserve"> подтвердила обстоятельства, изложенные в протоколе об административном правонарушении. </w:t>
      </w:r>
    </w:p>
    <w:p w:rsidR="00D5659A" w:rsidRPr="0057272C" w:rsidP="00287F65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Мировой судья, </w:t>
      </w:r>
      <w:r w:rsidRPr="0057272C" w:rsidR="00915D08">
        <w:rPr>
          <w:sz w:val="27"/>
          <w:szCs w:val="27"/>
        </w:rPr>
        <w:t>выслушав</w:t>
      </w:r>
      <w:r w:rsidRPr="0057272C" w:rsidR="00F607A8">
        <w:rPr>
          <w:sz w:val="27"/>
          <w:szCs w:val="27"/>
        </w:rPr>
        <w:t xml:space="preserve"> </w:t>
      </w:r>
      <w:r w:rsidRPr="0057272C" w:rsidR="006869B2">
        <w:rPr>
          <w:sz w:val="27"/>
          <w:szCs w:val="27"/>
        </w:rPr>
        <w:t xml:space="preserve">лицо, привлекаемое к административной ответственности, </w:t>
      </w:r>
      <w:r w:rsidRPr="0057272C">
        <w:rPr>
          <w:sz w:val="27"/>
          <w:szCs w:val="27"/>
        </w:rPr>
        <w:t xml:space="preserve">изучив материалы дела, приходит </w:t>
      </w:r>
      <w:r w:rsidRPr="0057272C">
        <w:rPr>
          <w:sz w:val="27"/>
          <w:szCs w:val="27"/>
        </w:rPr>
        <w:t xml:space="preserve">к следующему.  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В соответствии с пунктом 8 статьи 3 Федерального закона №402-ФЗ факт хозяйственной жизни - это сделка, событие, операция, которые оказывают или способны оказать влияние на финансовое положение экономического субъекта, финансовый результат </w:t>
      </w:r>
      <w:r w:rsidRPr="0057272C">
        <w:rPr>
          <w:sz w:val="27"/>
          <w:szCs w:val="27"/>
          <w:lang w:val="ru-RU"/>
        </w:rPr>
        <w:t>его деятельности и (или) движение денежных средств.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В силу статьи 5 Федерального закона №402-ФЗ объектами бухгалтерского учета экономического субъекта являются: факты хозяйственной жизни, активы, обязательства, источники финансирования его деятельности, до</w:t>
      </w:r>
      <w:r w:rsidRPr="0057272C">
        <w:rPr>
          <w:sz w:val="27"/>
          <w:szCs w:val="27"/>
          <w:lang w:val="ru-RU"/>
        </w:rPr>
        <w:t>ходы, расходы, иные объекты в случае, если это установлено федеральными стандартами.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Согласно частям 1 и 3 статьи 9 Федерального закона №402-ФЗ каждый факт хозяйственной жизни подлежит оформлению первичным учетным документом, который должен быть составлен </w:t>
      </w:r>
      <w:r w:rsidRPr="0057272C">
        <w:rPr>
          <w:sz w:val="27"/>
          <w:szCs w:val="27"/>
          <w:lang w:val="ru-RU"/>
        </w:rPr>
        <w:t>при совершении факта хозяйственной жизни, а если это не представляется возможным - непосредственно после его окончания. Не допускается принятие к бухгалтерскому учету документов, которыми оформляются не имевшие места факты хозяйственной жизни.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час</w:t>
      </w:r>
      <w:r w:rsidRPr="0057272C">
        <w:rPr>
          <w:sz w:val="27"/>
          <w:szCs w:val="27"/>
          <w:lang w:val="ru-RU"/>
        </w:rPr>
        <w:t>ти 1 статьи 10 Федерального закона №402-ФЗ данные, содержащиеся в первичных учетных документах, подлежат своевременной регистрации и накоплению в регистрах бухгалтерского учета.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части 2 статьи 10 Федерального закона №402-ФЗ не допускаются пропуски</w:t>
      </w:r>
      <w:r w:rsidRPr="0057272C">
        <w:rPr>
          <w:sz w:val="27"/>
          <w:szCs w:val="27"/>
          <w:lang w:val="ru-RU"/>
        </w:rPr>
        <w:t xml:space="preserve"> или изъятия при регистрации объектов бухгалтерского учета в регистрах бухгалтерского учета, регистрация мнимых и притворных объектов бухгалтерского учета в регистрах бухгалтерского учета. Под мнимым объектом бухгалтерского учета понимается несуществующий </w:t>
      </w:r>
      <w:r w:rsidRPr="0057272C">
        <w:rPr>
          <w:sz w:val="27"/>
          <w:szCs w:val="27"/>
          <w:lang w:val="ru-RU"/>
        </w:rPr>
        <w:t>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хозяйственной жизни).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В соответствии с пунктами 16, 20 Стандарта №256н объекты бухгалтерского учета, а также </w:t>
      </w:r>
      <w:r w:rsidRPr="0057272C">
        <w:rPr>
          <w:sz w:val="27"/>
          <w:szCs w:val="27"/>
          <w:lang w:val="ru-RU"/>
        </w:rPr>
        <w:t>изменяющие их факты хозяйственной жизни отражаются в бухгалтерском учете 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</w:t>
      </w:r>
      <w:r w:rsidRPr="0057272C">
        <w:rPr>
          <w:sz w:val="27"/>
          <w:szCs w:val="27"/>
          <w:lang w:val="ru-RU"/>
        </w:rPr>
        <w:t xml:space="preserve"> обязательств, доходов и (или) расходов, иных объектов бухгалтерского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Согласно пункту 3 Инструкции №157н, </w:t>
      </w:r>
      <w:r w:rsidRPr="0057272C">
        <w:rPr>
          <w:sz w:val="27"/>
          <w:szCs w:val="27"/>
          <w:lang w:val="ru-RU"/>
        </w:rPr>
        <w:t xml:space="preserve">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</w:t>
      </w:r>
      <w:r w:rsidRPr="0057272C">
        <w:rPr>
          <w:sz w:val="27"/>
          <w:szCs w:val="27"/>
          <w:lang w:val="ru-RU"/>
        </w:rPr>
        <w:t>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пункту 29 Стандарта №256н факты хозяйственной жизни отражаются в регистрах бухгалтерско</w:t>
      </w:r>
      <w:r w:rsidRPr="0057272C">
        <w:rPr>
          <w:sz w:val="27"/>
          <w:szCs w:val="27"/>
          <w:lang w:val="ru-RU"/>
        </w:rPr>
        <w:t>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соответствующих операций и принятия первичных (сводных) учетных документ</w:t>
      </w:r>
      <w:r w:rsidRPr="0057272C">
        <w:rPr>
          <w:sz w:val="27"/>
          <w:szCs w:val="27"/>
          <w:lang w:val="ru-RU"/>
        </w:rPr>
        <w:t>ов к бухгалтерскому учету, но не позднее следующего дня после получения (составления) первичных (сводных) учетных документов.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приложениям 3, 5 к Приказу №52н Журнал операций №6 является регистром бухгалтерского учета.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разделу 3 "Применени</w:t>
      </w:r>
      <w:r w:rsidRPr="0057272C">
        <w:rPr>
          <w:sz w:val="27"/>
          <w:szCs w:val="27"/>
          <w:lang w:val="ru-RU"/>
        </w:rPr>
        <w:t>е и формирование регистров бухгалтерского учета" приложения 5 к Приказу №52н записи в Журнал операций №6 производятся на основании первичных (сводных) учетных документов, соответствующих объектам учета.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Процесс расчета заработной платы, а именно учет рабоч</w:t>
      </w:r>
      <w:r w:rsidRPr="0057272C">
        <w:rPr>
          <w:sz w:val="27"/>
          <w:szCs w:val="27"/>
          <w:lang w:val="ru-RU"/>
        </w:rPr>
        <w:t>его времени, формирование кадровой документации, начисление заработной платы работникам объекта контроля, налога на доходы физических лиц (далее - НДФЛ), взносов во внебюджетные фонды и др. осуществляется в объекте контроля посредством использования специа</w:t>
      </w:r>
      <w:r w:rsidRPr="0057272C">
        <w:rPr>
          <w:sz w:val="27"/>
          <w:szCs w:val="27"/>
          <w:lang w:val="ru-RU"/>
        </w:rPr>
        <w:t>лизированного программного продукта по ведению учета и расчета заработной платы, а именно специализированная информационная система "ИВроссы: Финансово-хозяйственная деятельность государственного учреждения" подсистема Камин-зарплата.</w:t>
      </w:r>
    </w:p>
    <w:p w:rsidR="0057272C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В целях обобщения и с</w:t>
      </w:r>
      <w:r w:rsidRPr="0057272C">
        <w:rPr>
          <w:sz w:val="27"/>
          <w:szCs w:val="27"/>
          <w:lang w:val="ru-RU"/>
        </w:rPr>
        <w:t xml:space="preserve">истематизации информации о начислении и выплате заработной платы, о суммах задолженности перед персоналом, бюджетом по НДФЛ и </w:t>
      </w:r>
      <w:r w:rsidRPr="0057272C">
        <w:rPr>
          <w:sz w:val="27"/>
          <w:szCs w:val="27"/>
          <w:lang w:val="ru-RU"/>
        </w:rPr>
        <w:t>внебюджетными фондами, оперативного формирования бухгалтерской (финансовой) и налоговой отчетности сведения о произведенных расчет</w:t>
      </w:r>
      <w:r w:rsidRPr="0057272C">
        <w:rPr>
          <w:sz w:val="27"/>
          <w:szCs w:val="27"/>
          <w:lang w:val="ru-RU"/>
        </w:rPr>
        <w:t xml:space="preserve">ах по заработной плате путем обмена данными интегрируется из программного продукта "Камин-зарплата" в программный продукт "1С:БГУ". 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В соответствии с пунктами 257, 258 Инструкции №157н аналитический учет расчетов и отражение операций по начислению и выплат</w:t>
      </w:r>
      <w:r w:rsidRPr="0057272C">
        <w:rPr>
          <w:sz w:val="27"/>
          <w:szCs w:val="27"/>
          <w:lang w:val="ru-RU"/>
        </w:rPr>
        <w:t>е заработной платы ведется в регистре бухгалтерского учета - Журнале операций №6, который фактически объектом контроля формируется в программном продукте "1С:БГУ".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Информация о начислении и выплате заработной платы, о суммах задолженности перед персоналом,</w:t>
      </w:r>
      <w:r w:rsidRPr="0057272C">
        <w:rPr>
          <w:sz w:val="27"/>
          <w:szCs w:val="27"/>
          <w:lang w:val="ru-RU"/>
        </w:rPr>
        <w:t xml:space="preserve"> бюджетом по НДФЛ, внебюджетными фондами и др., в том числе информация, отражающаяся в расчетных листах работников, в программном продукте "Камин-зарплата" обобщается объектом контроля путем формирования документа - свод начислений, удержаний, выплат за 20</w:t>
      </w:r>
      <w:r w:rsidRPr="0057272C">
        <w:rPr>
          <w:sz w:val="27"/>
          <w:szCs w:val="27"/>
          <w:lang w:val="ru-RU"/>
        </w:rPr>
        <w:t>24 год.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Таким образом, операции по начислению и выплате заработной платы, отраженные в регистре бухгалтерского учета - Журнале операций №6, сформированном в программном продукте "1С:БГУ", должны соответствовать информации, содержащейся в программном </w:t>
      </w:r>
      <w:r w:rsidRPr="0057272C">
        <w:rPr>
          <w:sz w:val="27"/>
          <w:szCs w:val="27"/>
          <w:lang w:val="ru-RU"/>
        </w:rPr>
        <w:t>продукте "Камин-зарплата".</w:t>
      </w:r>
    </w:p>
    <w:p w:rsidR="004F2FD6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На основании пункта 53.1 приказа Министерства финансов Российской Федерации от 24.05.2022 №82н "О порядке формирования и применения кодов бюджетной квалификации Российской Федерации, их структуре и принципах назначения" по элемен</w:t>
      </w:r>
      <w:r w:rsidRPr="0057272C">
        <w:rPr>
          <w:sz w:val="27"/>
          <w:szCs w:val="27"/>
          <w:lang w:val="ru-RU"/>
        </w:rPr>
        <w:t>там видов расходов 111 "Фонд оплаты труда учреждений", 121 "Фонд оплаты труда государственных (муниципальных) органов", 131 "Денежное довольствие военнослужащих и сотрудников, имеющих специальные звания", 141 "Фонд оплаты труда государственных внебюджетных</w:t>
      </w:r>
      <w:r w:rsidRPr="0057272C">
        <w:rPr>
          <w:sz w:val="27"/>
          <w:szCs w:val="27"/>
          <w:lang w:val="ru-RU"/>
        </w:rPr>
        <w:t xml:space="preserve"> фондов" отражаются расходы на выплату заработной платы, осуществляемые на основе договоров (контрактов) в соответствии с законодательством Российской Федерации о государственной (муниципальной) службе, трудовым законодательством.</w:t>
      </w:r>
    </w:p>
    <w:p w:rsidR="004F2FD6" w:rsidRPr="0057272C" w:rsidP="0057272C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На основании пункта 10.1.</w:t>
      </w:r>
      <w:r w:rsidRPr="0057272C">
        <w:rPr>
          <w:sz w:val="27"/>
          <w:szCs w:val="27"/>
          <w:lang w:val="ru-RU"/>
        </w:rPr>
        <w:t>1 приказа Министерства финансов Российской Федерации от 29.11.2017 №209н "Об утверждении Порядка применения классификации операций сектора государственного управления" на подстатью 211 "Заработная плата" КОСГУ относятся расходы на выплату заработной платы,</w:t>
      </w:r>
      <w:r w:rsidRPr="0057272C">
        <w:rPr>
          <w:sz w:val="27"/>
          <w:szCs w:val="27"/>
          <w:lang w:val="ru-RU"/>
        </w:rPr>
        <w:t xml:space="preserve">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законодательством.</w:t>
      </w:r>
    </w:p>
    <w:p w:rsidR="0057272C" w:rsidRPr="0057272C" w:rsidP="0057272C">
      <w:pPr>
        <w:ind w:left="23" w:right="79" w:firstLine="544"/>
        <w:jc w:val="both"/>
        <w:rPr>
          <w:sz w:val="27"/>
          <w:szCs w:val="27"/>
          <w:lang w:eastAsia="ru-RU"/>
        </w:rPr>
      </w:pPr>
      <w:r w:rsidRPr="0057272C">
        <w:rPr>
          <w:sz w:val="27"/>
          <w:szCs w:val="27"/>
          <w:lang w:eastAsia="ru-RU"/>
        </w:rPr>
        <w:t>Учитывая вышеизложенное, в нарушение вышеуказанных норм законодательства о бухга</w:t>
      </w:r>
      <w:r w:rsidRPr="0057272C">
        <w:rPr>
          <w:sz w:val="27"/>
          <w:szCs w:val="27"/>
          <w:lang w:eastAsia="ru-RU"/>
        </w:rPr>
        <w:t>лтерском учете главным бухгалтером учреждения Кулеш Екатериной Николаевной в регистре бухгалтерского учета - Журнале операций №6 по Дебету счета 07010000000000111.4.109.60.211 по Кредиту счета 07010000000000111.4.302.11.737, по Дебету счета 070100000000001</w:t>
      </w:r>
      <w:r w:rsidRPr="0057272C">
        <w:rPr>
          <w:sz w:val="27"/>
          <w:szCs w:val="27"/>
          <w:lang w:eastAsia="ru-RU"/>
        </w:rPr>
        <w:t xml:space="preserve">11.4.109.80.211 по Кредиту счета 07010000000000111.4.302.11.737, по Дебету счета 07010000000000111.4.401.60.211 по Кредиту счета 07010000000000111.4.302.11.737, по Дебету счета 07010000000000111.2.109.80.211 по Кредиту счета 07010000000000111.2.302.11.737 </w:t>
      </w:r>
      <w:r w:rsidRPr="0057272C">
        <w:rPr>
          <w:sz w:val="27"/>
          <w:szCs w:val="27"/>
          <w:lang w:eastAsia="ru-RU"/>
        </w:rPr>
        <w:t xml:space="preserve">произведена регистрация мнимых объектов бухгалтерского учета (не имевших места фактов хозяйственной жизни) по отражению в бухгалтерском учете расходов по начислению заработной платы за 2024 год, а </w:t>
      </w:r>
      <w:r w:rsidRPr="0057272C">
        <w:rPr>
          <w:sz w:val="27"/>
          <w:szCs w:val="27"/>
          <w:lang w:eastAsia="ru-RU"/>
        </w:rPr>
        <w:t>именно начисление заработной платы за 2024 год за счет субс</w:t>
      </w:r>
      <w:r w:rsidRPr="0057272C">
        <w:rPr>
          <w:sz w:val="27"/>
          <w:szCs w:val="27"/>
          <w:lang w:eastAsia="ru-RU"/>
        </w:rPr>
        <w:t>идии из бюджета округа отражено в сумме 85 119 698,35 руб., за счет субсидии из бюджета города отражено в сумме 19 508 039,81 руб., за счет приносящей доход деятельности в сумме 330 866,30 руб., что не соответствует произведенным начислениям и кассовым исп</w:t>
      </w:r>
      <w:r w:rsidRPr="0057272C">
        <w:rPr>
          <w:sz w:val="27"/>
          <w:szCs w:val="27"/>
          <w:lang w:eastAsia="ru-RU"/>
        </w:rPr>
        <w:t>олнением, указанным в таблице 1.</w:t>
      </w:r>
    </w:p>
    <w:p w:rsidR="0057272C" w:rsidRPr="0057272C" w:rsidP="0057272C">
      <w:pPr>
        <w:rPr>
          <w:lang w:eastAsia="ru-RU"/>
        </w:rPr>
      </w:pPr>
      <w:r w:rsidRPr="0057272C">
        <w:rPr>
          <w:lang w:eastAsia="ru-RU"/>
        </w:rPr>
        <w:t>Таблица 1</w:t>
      </w:r>
    </w:p>
    <w:tbl>
      <w:tblPr>
        <w:tblW w:w="9734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5"/>
        <w:gridCol w:w="1596"/>
        <w:gridCol w:w="1007"/>
        <w:gridCol w:w="1573"/>
        <w:gridCol w:w="1789"/>
        <w:gridCol w:w="10"/>
        <w:gridCol w:w="1400"/>
        <w:gridCol w:w="25"/>
        <w:gridCol w:w="1736"/>
        <w:gridCol w:w="33"/>
      </w:tblGrid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№ п/п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 w:firstLine="340"/>
              <w:rPr>
                <w:lang w:eastAsia="ru-RU"/>
              </w:rPr>
            </w:pPr>
            <w:r w:rsidRPr="0057272C">
              <w:rPr>
                <w:lang w:eastAsia="ru-RU"/>
              </w:rPr>
              <w:t>Источник финансирования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2" w:lineRule="exact"/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Код КОСГУ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Всего начислено, руб.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2" w:lineRule="exact"/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Перечислена (выплачена) заработная плата, руб.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НДФЛ, руб.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2" w:lineRule="exact"/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Удержания из заработной платы, руб.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760"/>
              <w:rPr>
                <w:lang w:eastAsia="ru-RU"/>
              </w:rPr>
            </w:pPr>
            <w:r w:rsidRPr="0057272C">
              <w:rPr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6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7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2"/>
        </w:trPr>
        <w:tc>
          <w:tcPr>
            <w:tcW w:w="9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780"/>
              <w:rPr>
                <w:lang w:eastAsia="ru-RU"/>
              </w:rPr>
            </w:pPr>
            <w:r w:rsidRPr="0057272C">
              <w:rPr>
                <w:lang w:eastAsia="ru-RU"/>
              </w:rPr>
              <w:t xml:space="preserve">Заработная плата в соответствии со </w:t>
            </w:r>
            <w:r w:rsidRPr="0057272C">
              <w:rPr>
                <w:lang w:eastAsia="ru-RU"/>
              </w:rPr>
              <w:t>сводами начислений, удержаний, выплат за 2024 год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Приносящая доход деятельность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242 608,25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211 071,25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31 537,00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2.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85 112 890,00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73 721 327,57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11 070 472,00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1 161 584,25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848 280,16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7"/>
        </w:trPr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85 961 170,16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73 721 327,57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11 070 472,00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1 161 584,25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3.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2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города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13 247 732,56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11 405 929,70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1 717 054,00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209 473,36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67 686,20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2"/>
        </w:trPr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13 315 418,76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11 405 929,70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1 717 054,00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209 473,36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92"/>
        </w:trPr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120"/>
              <w:rPr>
                <w:lang w:eastAsia="ru-RU"/>
              </w:rPr>
            </w:pPr>
            <w:r w:rsidRPr="0057272C">
              <w:rPr>
                <w:lang w:eastAsia="ru-RU"/>
              </w:rPr>
              <w:t>Итого КФО-4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98 360 622,56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85 127 257,27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 xml:space="preserve">12 </w:t>
            </w:r>
            <w:r w:rsidRPr="0057272C">
              <w:rPr>
                <w:lang w:eastAsia="ru-RU"/>
              </w:rPr>
              <w:t>787 526,00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1 371 057,61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2"/>
        </w:trPr>
        <w:tc>
          <w:tcPr>
            <w:tcW w:w="21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right="400"/>
              <w:jc w:val="right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915 966,36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06"/>
        </w:trPr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99 276 588,92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85 127 257,27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00"/>
              <w:rPr>
                <w:lang w:eastAsia="ru-RU"/>
              </w:rPr>
            </w:pPr>
            <w:r w:rsidRPr="0057272C">
              <w:rPr>
                <w:lang w:eastAsia="ru-RU"/>
              </w:rPr>
              <w:t>12 787 526,00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jc w:val="center"/>
              <w:rPr>
                <w:lang w:eastAsia="ru-RU"/>
              </w:rPr>
            </w:pPr>
            <w:r w:rsidRPr="0057272C">
              <w:rPr>
                <w:lang w:eastAsia="ru-RU"/>
              </w:rPr>
              <w:t>1 371 057,61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83"/>
        </w:trPr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080"/>
              <w:rPr>
                <w:lang w:eastAsia="ru-RU"/>
              </w:rPr>
            </w:pPr>
            <w:r w:rsidRPr="0057272C">
              <w:rPr>
                <w:lang w:eastAsia="ru-RU"/>
              </w:rPr>
              <w:t>Заработная плата в соответствии с отчетом (ф.0503737), данными АС "Бюджет"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rFonts w:ascii="Arial Unicode MS" w:eastAsia="Arial Unicode MS" w:cs="Arial Unicode MS"/>
                <w:bCs/>
                <w:spacing w:val="-10"/>
                <w:lang w:eastAsia="ru-RU"/>
              </w:rPr>
              <w:t>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Приносящая доход деятельность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242 608,25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211 071,25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31 537,00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2.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92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85 319 549,56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73 493 064,72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10 664 907,03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1 161 577,81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719 618.84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654 022,84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65 596,00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840"/>
              <w:rPr>
                <w:lang w:eastAsia="ru-RU"/>
              </w:rPr>
            </w:pPr>
            <w:r w:rsidRPr="0057272C">
              <w:rPr>
                <w:lang w:eastAsia="ru-RU"/>
              </w:rPr>
              <w:t>-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86 039 168,40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74 147 087,56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10 730 503,03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1 161 577,81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8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92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города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13 726 895,06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11 466 510,03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2 051 084,78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209 300,25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0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63 379,01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55 141,01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8 238,00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840"/>
              <w:rPr>
                <w:lang w:eastAsia="ru-RU"/>
              </w:rPr>
            </w:pPr>
            <w:r w:rsidRPr="0057272C">
              <w:rPr>
                <w:lang w:eastAsia="ru-RU"/>
              </w:rPr>
              <w:t>-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2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13 790 274,07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11 521 651,04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2 059 322,78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209 300,25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120"/>
              <w:rPr>
                <w:lang w:eastAsia="ru-RU"/>
              </w:rPr>
            </w:pPr>
            <w:r w:rsidRPr="0057272C">
              <w:rPr>
                <w:lang w:eastAsia="ru-RU"/>
              </w:rPr>
              <w:t>Итого КФО-4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99 046 444,62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84 959 574,75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12 715 991,81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1 370 878,06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02"/>
        </w:trPr>
        <w:tc>
          <w:tcPr>
            <w:tcW w:w="2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782 997,85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709 163,85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73 834,00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840"/>
              <w:rPr>
                <w:lang w:eastAsia="ru-RU"/>
              </w:rPr>
            </w:pPr>
            <w:r w:rsidRPr="0057272C">
              <w:rPr>
                <w:lang w:eastAsia="ru-RU"/>
              </w:rPr>
              <w:t>-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02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99 829 442,47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85 668 738,60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12 789 825,81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1 370 878,06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9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440"/>
              <w:rPr>
                <w:lang w:eastAsia="ru-RU"/>
              </w:rPr>
            </w:pPr>
            <w:r w:rsidRPr="0057272C">
              <w:rPr>
                <w:lang w:eastAsia="ru-RU"/>
              </w:rPr>
              <w:t>Отклонения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rFonts w:ascii="Arial Unicode MS" w:eastAsia="Arial Unicode MS" w:cs="Arial Unicode MS"/>
                <w:b/>
                <w:bCs/>
                <w:spacing w:val="-10"/>
                <w:lang w:eastAsia="ru-RU"/>
              </w:rPr>
              <w:t>1.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Приносящая доход деятельность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60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760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80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0,00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2.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92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206 659,56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425 759,99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-339 968,97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-6,44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-128 661,32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77 998,24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425 759,99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-339 968,97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-6,44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40"/>
              <w:rPr>
                <w:lang w:eastAsia="ru-RU"/>
              </w:rPr>
            </w:pPr>
            <w:r w:rsidRPr="0057272C">
              <w:rPr>
                <w:lang w:eastAsia="ru-RU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spacing w:line="187" w:lineRule="exact"/>
              <w:ind w:left="120"/>
              <w:rPr>
                <w:lang w:eastAsia="ru-RU"/>
              </w:rPr>
            </w:pPr>
            <w:r w:rsidRPr="0057272C">
              <w:rPr>
                <w:lang w:eastAsia="ru-RU"/>
              </w:rPr>
              <w:t>Субсидия из бюджета города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479 162,50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115 721,34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342 268,78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-173,11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  <w:r w:rsidRPr="0057272C">
              <w:rPr>
                <w:lang w:eastAsia="ru-RU"/>
              </w:rPr>
              <w:t>-4 307,19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80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474 855,31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115 721,34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342 268,78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-173,11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1120"/>
              <w:rPr>
                <w:lang w:eastAsia="ru-RU"/>
              </w:rPr>
            </w:pPr>
            <w:r w:rsidRPr="0057272C">
              <w:rPr>
                <w:lang w:eastAsia="ru-RU"/>
              </w:rPr>
              <w:t>Итого КФО-4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685 822,06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541 481,33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>2 299,81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-179,55</w:t>
            </w: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197"/>
        </w:trPr>
        <w:tc>
          <w:tcPr>
            <w:tcW w:w="2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80"/>
              <w:rPr>
                <w:lang w:eastAsia="ru-RU"/>
              </w:rPr>
            </w:pPr>
            <w:r w:rsidRPr="0057272C">
              <w:rPr>
                <w:lang w:eastAsia="ru-RU"/>
              </w:rPr>
              <w:t>266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-132 968,51</w:t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</w:p>
        </w:tc>
      </w:tr>
      <w:tr w:rsidTr="00AC16A0">
        <w:tblPrEx>
          <w:tblW w:w="9734" w:type="dxa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wAfter w:w="33" w:type="dxa"/>
          <w:trHeight w:val="211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2480"/>
              <w:rPr>
                <w:lang w:eastAsia="ru-RU"/>
              </w:rPr>
            </w:pPr>
            <w:r w:rsidRPr="0057272C">
              <w:rPr>
                <w:lang w:eastAsia="ru-RU"/>
              </w:rPr>
              <w:t>итого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400"/>
              <w:rPr>
                <w:lang w:eastAsia="ru-RU"/>
              </w:rPr>
            </w:pPr>
            <w:r w:rsidRPr="0057272C">
              <w:rPr>
                <w:lang w:eastAsia="ru-RU"/>
              </w:rPr>
              <w:t>552 853,55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500"/>
              <w:rPr>
                <w:lang w:eastAsia="ru-RU"/>
              </w:rPr>
            </w:pPr>
            <w:r w:rsidRPr="0057272C">
              <w:rPr>
                <w:lang w:eastAsia="ru-RU"/>
              </w:rPr>
              <w:t>541 481,33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340"/>
              <w:rPr>
                <w:lang w:eastAsia="ru-RU"/>
              </w:rPr>
            </w:pPr>
            <w:r w:rsidRPr="0057272C">
              <w:rPr>
                <w:lang w:eastAsia="ru-RU"/>
              </w:rPr>
              <w:t xml:space="preserve">2 </w:t>
            </w:r>
            <w:r w:rsidRPr="0057272C">
              <w:rPr>
                <w:lang w:eastAsia="ru-RU"/>
              </w:rPr>
              <w:t>299,81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2C" w:rsidRPr="0057272C" w:rsidP="00AC16A0">
            <w:pPr>
              <w:ind w:left="680"/>
              <w:rPr>
                <w:lang w:eastAsia="ru-RU"/>
              </w:rPr>
            </w:pPr>
            <w:r w:rsidRPr="0057272C">
              <w:rPr>
                <w:lang w:eastAsia="ru-RU"/>
              </w:rPr>
              <w:t>-179,55</w:t>
            </w:r>
          </w:p>
        </w:tc>
      </w:tr>
    </w:tbl>
    <w:p w:rsidR="0057272C" w:rsidRPr="0057272C" w:rsidP="0057272C">
      <w:pPr>
        <w:pStyle w:val="BodyText"/>
        <w:spacing w:after="0" w:line="240" w:lineRule="atLeast"/>
        <w:ind w:firstLine="567"/>
        <w:jc w:val="both"/>
        <w:rPr>
          <w:lang w:val="ru-RU"/>
        </w:rPr>
      </w:pPr>
    </w:p>
    <w:p w:rsidR="004F2FD6" w:rsidRPr="0057272C" w:rsidP="0057272C">
      <w:pPr>
        <w:pStyle w:val="BodyText"/>
        <w:spacing w:after="0" w:line="240" w:lineRule="atLeast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Согласно пункту 11 Инструкции №157н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лица, составившие и подписавшие их.</w:t>
      </w:r>
    </w:p>
    <w:p w:rsidR="0057272C" w:rsidRPr="0057272C" w:rsidP="0057272C">
      <w:pPr>
        <w:pStyle w:val="BodyText"/>
        <w:spacing w:after="0"/>
        <w:ind w:firstLine="567"/>
        <w:jc w:val="both"/>
        <w:rPr>
          <w:spacing w:val="5"/>
          <w:sz w:val="27"/>
          <w:szCs w:val="27"/>
          <w:lang w:val="ru-RU" w:eastAsia="en-US"/>
        </w:rPr>
      </w:pPr>
      <w:r w:rsidRPr="0057272C">
        <w:rPr>
          <w:spacing w:val="5"/>
          <w:sz w:val="27"/>
          <w:szCs w:val="27"/>
          <w:lang w:eastAsia="en-US"/>
        </w:rPr>
        <w:t>С</w:t>
      </w:r>
      <w:r w:rsidRPr="0057272C">
        <w:rPr>
          <w:spacing w:val="5"/>
          <w:sz w:val="27"/>
          <w:szCs w:val="27"/>
          <w:lang w:eastAsia="en-US"/>
        </w:rPr>
        <w:t>огласно трудовому договору от 24.11.2003 №114 с учетом дополнительного соглашения от 04.05.2021 №63, приказам учреждения от 24.11.2003 №304 "О приеме", от 04.05.2021 №31-ок "О переводе работника на другую работу (ставку)" с 04.05.2021 до 10.04.2025 обязанн</w:t>
      </w:r>
      <w:r w:rsidRPr="0057272C">
        <w:rPr>
          <w:spacing w:val="5"/>
          <w:sz w:val="27"/>
          <w:szCs w:val="27"/>
          <w:lang w:eastAsia="en-US"/>
        </w:rPr>
        <w:t>ости главного бухгалтера муниципального бюджетного дошкольного образовательного учреждения детского сада №67 "Умка" были возложены на Кулеш Екатерину Николаевну</w:t>
      </w:r>
      <w:r w:rsidRPr="0057272C">
        <w:rPr>
          <w:spacing w:val="5"/>
          <w:sz w:val="27"/>
          <w:szCs w:val="27"/>
          <w:lang w:val="ru-RU" w:eastAsia="en-US"/>
        </w:rPr>
        <w:t>.</w:t>
      </w:r>
    </w:p>
    <w:p w:rsidR="0057272C" w:rsidRPr="0057272C" w:rsidP="0057272C">
      <w:pPr>
        <w:pStyle w:val="BodyText"/>
        <w:spacing w:after="0"/>
        <w:ind w:firstLine="567"/>
        <w:jc w:val="both"/>
        <w:rPr>
          <w:spacing w:val="5"/>
          <w:sz w:val="27"/>
          <w:szCs w:val="27"/>
          <w:lang w:eastAsia="en-US"/>
        </w:rPr>
      </w:pPr>
      <w:r w:rsidRPr="0057272C">
        <w:rPr>
          <w:spacing w:val="5"/>
          <w:sz w:val="27"/>
          <w:szCs w:val="27"/>
          <w:lang w:eastAsia="en-US"/>
        </w:rPr>
        <w:t xml:space="preserve"> В соответствии с пунктами 3.1, 3.2 раздела 3 должностной инструкции главного бухгалтера должностными обязанностями главного бухгалтера являлось в том числе осуществление организации, планирования, координации и контроля процесса формирования информации в </w:t>
      </w:r>
      <w:r w:rsidRPr="0057272C">
        <w:rPr>
          <w:spacing w:val="5"/>
          <w:sz w:val="27"/>
          <w:szCs w:val="27"/>
          <w:lang w:eastAsia="en-US"/>
        </w:rPr>
        <w:t>системе бухгалтерского учета, осуществление организации и внутреннего контроля ведения бухгалтерского учета и составления бухгалтерской (финансовой) отчетности в дошкольном образовательном учреждении, включая контроль за расходованием фонда заработной плат</w:t>
      </w:r>
      <w:r w:rsidRPr="0057272C">
        <w:rPr>
          <w:spacing w:val="5"/>
          <w:sz w:val="27"/>
          <w:szCs w:val="27"/>
          <w:lang w:eastAsia="en-US"/>
        </w:rPr>
        <w:t>ы и проверку обоснованности первичных учетных документов, которыми оформлены факты хозяйственной жизни, логическую увязку отдельных показателей, качество ведения регистров бухгалтерского учета и составления бухгалтерской (финансовой) отчетности учреждения.</w:t>
      </w:r>
    </w:p>
    <w:p w:rsidR="0057272C" w:rsidRPr="0057272C" w:rsidP="0057272C">
      <w:pPr>
        <w:pStyle w:val="BodyText"/>
        <w:spacing w:after="0" w:line="240" w:lineRule="atLeast"/>
        <w:ind w:firstLine="567"/>
        <w:jc w:val="both"/>
        <w:rPr>
          <w:sz w:val="27"/>
          <w:szCs w:val="27"/>
        </w:rPr>
      </w:pPr>
      <w:r w:rsidRPr="0057272C">
        <w:rPr>
          <w:spacing w:val="5"/>
          <w:sz w:val="27"/>
          <w:szCs w:val="27"/>
          <w:lang w:eastAsia="en-US"/>
        </w:rPr>
        <w:t xml:space="preserve">С 11.04.2025 Кулеш Екатерина Николаевна переведена на должность заместителя заведующего на основании дополнительного соглашения от 11.04.2025 №61 к трудовому договору, приказа учреждения от 11.04.2025 №25-ок "О переводе работника на другую работу" (далее </w:t>
      </w:r>
      <w:r w:rsidRPr="0057272C">
        <w:rPr>
          <w:spacing w:val="5"/>
          <w:sz w:val="27"/>
          <w:szCs w:val="27"/>
          <w:lang w:eastAsia="en-US"/>
        </w:rPr>
        <w:t>- приказ учреждения №25-ок).</w:t>
      </w:r>
    </w:p>
    <w:p w:rsidR="009D547B" w:rsidRPr="009D547B" w:rsidP="009D547B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9D547B">
        <w:rPr>
          <w:sz w:val="27"/>
          <w:szCs w:val="27"/>
          <w:lang w:val="ru-RU"/>
        </w:rPr>
        <w:t>В соответствии с частью 4 статьи 15.15.6 Кодекса Российской Федерации об административных правонарушениях грубое нарушение требований к бюджетному (бухгалтерскому) учету, в том числе к составлению либо представлению бюджетной и</w:t>
      </w:r>
      <w:r w:rsidRPr="009D547B">
        <w:rPr>
          <w:sz w:val="27"/>
          <w:szCs w:val="27"/>
          <w:lang w:val="ru-RU"/>
        </w:rPr>
        <w:t>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влечет наложение административного штрафа</w:t>
      </w:r>
      <w:r w:rsidRPr="009D547B">
        <w:rPr>
          <w:sz w:val="27"/>
          <w:szCs w:val="27"/>
          <w:lang w:val="ru-RU"/>
        </w:rPr>
        <w:t xml:space="preserve"> на должностных лиц в размере от пятнадцати тысяч до тридцати тысяч рублей. </w:t>
      </w:r>
    </w:p>
    <w:p w:rsidR="009D547B" w:rsidRPr="009D547B" w:rsidP="009D547B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9D547B">
        <w:rPr>
          <w:sz w:val="27"/>
          <w:szCs w:val="27"/>
          <w:lang w:val="ru-RU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</w:t>
      </w:r>
      <w:r w:rsidRPr="009D547B">
        <w:rPr>
          <w:sz w:val="27"/>
          <w:szCs w:val="27"/>
          <w:lang w:val="ru-RU"/>
        </w:rPr>
        <w:t>чреждений,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57272C" w:rsidRPr="0057272C" w:rsidP="009D547B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9D547B">
        <w:rPr>
          <w:sz w:val="27"/>
          <w:szCs w:val="27"/>
          <w:lang w:val="ru-RU"/>
        </w:rPr>
        <w:t xml:space="preserve">В соответствии с подпунктом 5 пункта 4 примечания к указанной статье под </w:t>
      </w:r>
      <w:r w:rsidRPr="009D547B">
        <w:rPr>
          <w:sz w:val="27"/>
          <w:szCs w:val="27"/>
          <w:lang w:val="ru-RU"/>
        </w:rPr>
        <w:t>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</w:t>
      </w:r>
      <w:r w:rsidRPr="009D547B">
        <w:rPr>
          <w:sz w:val="27"/>
          <w:szCs w:val="27"/>
          <w:lang w:val="ru-RU"/>
        </w:rPr>
        <w:t>инансовой) отчетности понимается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</w:t>
      </w:r>
      <w:r w:rsidRPr="009D547B">
        <w:rPr>
          <w:sz w:val="27"/>
          <w:szCs w:val="27"/>
          <w:lang w:val="ru-RU"/>
        </w:rPr>
        <w:t>галтерского учета.</w:t>
      </w:r>
    </w:p>
    <w:p w:rsidR="00C502F8" w:rsidRPr="0057272C" w:rsidP="004F2FD6">
      <w:pPr>
        <w:pStyle w:val="BodyText"/>
        <w:spacing w:after="0"/>
        <w:ind w:firstLine="567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</w:t>
      </w:r>
      <w:r w:rsidRPr="0057272C">
        <w:rPr>
          <w:sz w:val="27"/>
          <w:szCs w:val="27"/>
          <w:lang w:val="ru-RU"/>
        </w:rPr>
        <w:t>лнением своих служебных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</w:t>
      </w:r>
      <w:r w:rsidRPr="0057272C">
        <w:rPr>
          <w:sz w:val="27"/>
          <w:szCs w:val="27"/>
          <w:lang w:val="ru-RU"/>
        </w:rPr>
        <w:t>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</w:t>
      </w:r>
      <w:r w:rsidRPr="0057272C">
        <w:rPr>
          <w:sz w:val="27"/>
          <w:szCs w:val="27"/>
          <w:lang w:val="ru-RU"/>
        </w:rPr>
        <w:t xml:space="preserve">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344637" w:rsidRPr="0057272C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7"/>
          <w:szCs w:val="27"/>
        </w:rPr>
      </w:pPr>
      <w:r w:rsidRPr="0057272C">
        <w:rPr>
          <w:sz w:val="27"/>
          <w:szCs w:val="27"/>
        </w:rPr>
        <w:t>Все собранные по делу об административном правонарушении доказательства, представленные</w:t>
      </w:r>
      <w:r w:rsidRPr="0057272C">
        <w:rPr>
          <w:sz w:val="27"/>
          <w:szCs w:val="27"/>
        </w:rPr>
        <w:t xml:space="preserve">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57272C">
          <w:rPr>
            <w:rStyle w:val="Hyperlink"/>
            <w:color w:val="auto"/>
            <w:sz w:val="27"/>
            <w:szCs w:val="27"/>
            <w:u w:val="none"/>
          </w:rPr>
          <w:t>статьи 26.11</w:t>
        </w:r>
      </w:hyperlink>
      <w:r w:rsidRPr="0057272C">
        <w:rPr>
          <w:sz w:val="27"/>
          <w:szCs w:val="27"/>
        </w:rPr>
        <w:t xml:space="preserve"> КоАП РФ и свидетельствуют о виновности </w:t>
      </w:r>
      <w:r w:rsidRPr="0057272C" w:rsidR="007E7CE6">
        <w:rPr>
          <w:sz w:val="27"/>
          <w:szCs w:val="27"/>
        </w:rPr>
        <w:t xml:space="preserve">должностного </w:t>
      </w:r>
      <w:r w:rsidRPr="0057272C">
        <w:rPr>
          <w:sz w:val="27"/>
          <w:szCs w:val="27"/>
        </w:rPr>
        <w:t xml:space="preserve">лица </w:t>
      </w:r>
      <w:r w:rsidRPr="0057272C" w:rsidR="00AE60F4">
        <w:rPr>
          <w:sz w:val="27"/>
          <w:szCs w:val="27"/>
        </w:rPr>
        <w:t>Кулеш Е.Н.</w:t>
      </w:r>
      <w:r w:rsidRPr="0057272C" w:rsidR="00915D08">
        <w:rPr>
          <w:sz w:val="27"/>
          <w:szCs w:val="27"/>
        </w:rPr>
        <w:t xml:space="preserve"> </w:t>
      </w:r>
      <w:r w:rsidRPr="0057272C">
        <w:rPr>
          <w:sz w:val="27"/>
          <w:szCs w:val="27"/>
        </w:rPr>
        <w:t>в совершении указанного административного правонарушения.</w:t>
      </w:r>
    </w:p>
    <w:p w:rsidR="0045263D" w:rsidRPr="0057272C" w:rsidP="00287F6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Оценивая доказательства в их совокупности, мировой судья квалифицирует</w:t>
      </w:r>
      <w:r w:rsidRPr="0057272C" w:rsidR="00953107">
        <w:rPr>
          <w:sz w:val="27"/>
          <w:szCs w:val="27"/>
        </w:rPr>
        <w:t xml:space="preserve"> её</w:t>
      </w:r>
      <w:r w:rsidRPr="0057272C">
        <w:rPr>
          <w:sz w:val="27"/>
          <w:szCs w:val="27"/>
        </w:rPr>
        <w:t xml:space="preserve"> действия по </w:t>
      </w:r>
      <w:r w:rsidRPr="0057272C" w:rsidR="00E77ACD">
        <w:rPr>
          <w:sz w:val="27"/>
          <w:szCs w:val="27"/>
        </w:rPr>
        <w:t>ч. 4 ст. 15.15.6</w:t>
      </w:r>
      <w:r w:rsidRPr="0057272C">
        <w:rPr>
          <w:sz w:val="27"/>
          <w:szCs w:val="27"/>
        </w:rPr>
        <w:t xml:space="preserve"> Кодекса Российской Федерации об административных правонарушениях.  </w:t>
      </w:r>
    </w:p>
    <w:p w:rsidR="000C3035" w:rsidRPr="0057272C" w:rsidP="00287F65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В соответствии со </w:t>
      </w:r>
      <w:r w:rsidRPr="0057272C">
        <w:rPr>
          <w:sz w:val="27"/>
          <w:szCs w:val="27"/>
        </w:rPr>
        <w:t xml:space="preserve">ст. 4.2 КоАП РФ к смягчающему вину обстоятельству мировой судья относит признание вины. </w:t>
      </w:r>
    </w:p>
    <w:p w:rsidR="00AE60F4" w:rsidRPr="0057272C" w:rsidP="00AE60F4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915D08" w:rsidRPr="0057272C" w:rsidP="00915D08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При назначении наказания мировой судья учи</w:t>
      </w:r>
      <w:r w:rsidRPr="0057272C">
        <w:rPr>
          <w:sz w:val="27"/>
          <w:szCs w:val="27"/>
        </w:rPr>
        <w:t>тывает характер совершенного административного правонарушения, наличие обстоятельств, смягчающих административную ответственность,</w:t>
      </w:r>
      <w:r w:rsidRPr="0057272C" w:rsidR="00AE60F4">
        <w:rPr>
          <w:sz w:val="27"/>
          <w:szCs w:val="27"/>
        </w:rPr>
        <w:t xml:space="preserve"> отсутствие обстоятельств, отягчающих административную ответственность,</w:t>
      </w:r>
      <w:r w:rsidRPr="0057272C">
        <w:rPr>
          <w:sz w:val="27"/>
          <w:szCs w:val="27"/>
        </w:rPr>
        <w:t xml:space="preserve"> приходит к выводу, что наказание возможно назначить в </w:t>
      </w:r>
      <w:r w:rsidRPr="0057272C">
        <w:rPr>
          <w:sz w:val="27"/>
          <w:szCs w:val="27"/>
        </w:rPr>
        <w:t xml:space="preserve">минимальном размере штрафа, предусмотренного санкцией ч. 4 ст. 15.15.6 Кодекса Российской Федерации об административных правонарушениях. </w:t>
      </w:r>
    </w:p>
    <w:p w:rsidR="00915D08" w:rsidRPr="0057272C" w:rsidP="00915D08">
      <w:pPr>
        <w:pStyle w:val="BodyTextIndent"/>
        <w:suppressAutoHyphens/>
        <w:rPr>
          <w:sz w:val="27"/>
          <w:szCs w:val="27"/>
        </w:rPr>
      </w:pPr>
      <w:r w:rsidRPr="0057272C">
        <w:rPr>
          <w:sz w:val="27"/>
          <w:szCs w:val="27"/>
        </w:rPr>
        <w:t>Руководствуясь ст</w:t>
      </w:r>
      <w:r w:rsidRPr="0057272C">
        <w:rPr>
          <w:sz w:val="27"/>
          <w:szCs w:val="27"/>
          <w:lang w:val="ru-RU"/>
        </w:rPr>
        <w:t>атьями</w:t>
      </w:r>
      <w:r w:rsidRPr="0057272C">
        <w:rPr>
          <w:sz w:val="27"/>
          <w:szCs w:val="27"/>
        </w:rPr>
        <w:t xml:space="preserve"> 29.9, 29.10</w:t>
      </w:r>
      <w:r w:rsidRPr="0057272C">
        <w:rPr>
          <w:sz w:val="27"/>
          <w:szCs w:val="27"/>
          <w:lang w:val="ru-RU"/>
        </w:rPr>
        <w:t xml:space="preserve">  и</w:t>
      </w:r>
      <w:r w:rsidRPr="0057272C">
        <w:rPr>
          <w:sz w:val="27"/>
          <w:szCs w:val="27"/>
        </w:rPr>
        <w:t xml:space="preserve"> </w:t>
      </w:r>
      <w:r w:rsidRPr="0057272C">
        <w:rPr>
          <w:sz w:val="27"/>
          <w:szCs w:val="27"/>
          <w:lang w:val="ru-RU"/>
        </w:rPr>
        <w:t xml:space="preserve">32.2 </w:t>
      </w:r>
      <w:r w:rsidRPr="0057272C">
        <w:rPr>
          <w:sz w:val="27"/>
          <w:szCs w:val="27"/>
        </w:rPr>
        <w:t xml:space="preserve">Кодекса Российской Федерации об административных правонарушениях, мировой </w:t>
      </w:r>
      <w:r w:rsidRPr="0057272C">
        <w:rPr>
          <w:sz w:val="27"/>
          <w:szCs w:val="27"/>
        </w:rPr>
        <w:t>судья</w:t>
      </w:r>
    </w:p>
    <w:p w:rsidR="00915D08" w:rsidRPr="0057272C" w:rsidP="00915D08">
      <w:pPr>
        <w:pStyle w:val="BodyTextIndent"/>
        <w:suppressAutoHyphens/>
        <w:rPr>
          <w:sz w:val="27"/>
          <w:szCs w:val="27"/>
        </w:rPr>
      </w:pPr>
    </w:p>
    <w:p w:rsidR="00915D08" w:rsidRPr="0057272C" w:rsidP="00915D08">
      <w:pPr>
        <w:jc w:val="center"/>
        <w:rPr>
          <w:sz w:val="27"/>
          <w:szCs w:val="27"/>
        </w:rPr>
      </w:pPr>
      <w:r w:rsidRPr="0057272C">
        <w:rPr>
          <w:sz w:val="27"/>
          <w:szCs w:val="27"/>
        </w:rPr>
        <w:t>ПОСТАНОВИЛ:</w:t>
      </w:r>
    </w:p>
    <w:p w:rsidR="00915D08" w:rsidRPr="0057272C" w:rsidP="00915D08">
      <w:pPr>
        <w:pStyle w:val="BodyTextIndent"/>
        <w:suppressAutoHyphens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Кулеш Екатерину Николаевну </w:t>
      </w:r>
      <w:r w:rsidRPr="0057272C">
        <w:rPr>
          <w:sz w:val="27"/>
          <w:szCs w:val="27"/>
        </w:rPr>
        <w:t>признать виновн</w:t>
      </w:r>
      <w:r w:rsidRPr="0057272C">
        <w:rPr>
          <w:sz w:val="27"/>
          <w:szCs w:val="27"/>
          <w:lang w:val="ru-RU"/>
        </w:rPr>
        <w:t xml:space="preserve">ой </w:t>
      </w:r>
      <w:r w:rsidRPr="0057272C">
        <w:rPr>
          <w:sz w:val="27"/>
          <w:szCs w:val="27"/>
        </w:rPr>
        <w:t xml:space="preserve">в совершении административного правонарушения, предусмотренного </w:t>
      </w:r>
      <w:r w:rsidRPr="0057272C">
        <w:rPr>
          <w:sz w:val="27"/>
          <w:szCs w:val="27"/>
          <w:lang w:val="ru-RU"/>
        </w:rPr>
        <w:t xml:space="preserve">частью 4 </w:t>
      </w:r>
      <w:r w:rsidRPr="0057272C">
        <w:rPr>
          <w:sz w:val="27"/>
          <w:szCs w:val="27"/>
        </w:rPr>
        <w:t>стать</w:t>
      </w:r>
      <w:r w:rsidRPr="0057272C">
        <w:rPr>
          <w:sz w:val="27"/>
          <w:szCs w:val="27"/>
          <w:lang w:val="ru-RU"/>
        </w:rPr>
        <w:t xml:space="preserve">и </w:t>
      </w:r>
      <w:r w:rsidRPr="0057272C">
        <w:rPr>
          <w:sz w:val="27"/>
          <w:szCs w:val="27"/>
        </w:rPr>
        <w:t>1</w:t>
      </w:r>
      <w:r w:rsidRPr="0057272C">
        <w:rPr>
          <w:sz w:val="27"/>
          <w:szCs w:val="27"/>
          <w:lang w:val="ru-RU"/>
        </w:rPr>
        <w:t>5</w:t>
      </w:r>
      <w:r w:rsidRPr="0057272C">
        <w:rPr>
          <w:sz w:val="27"/>
          <w:szCs w:val="27"/>
        </w:rPr>
        <w:t>.</w:t>
      </w:r>
      <w:r w:rsidRPr="0057272C">
        <w:rPr>
          <w:sz w:val="27"/>
          <w:szCs w:val="27"/>
          <w:lang w:val="ru-RU"/>
        </w:rPr>
        <w:t>15.6</w:t>
      </w:r>
      <w:r w:rsidRPr="0057272C">
        <w:rPr>
          <w:sz w:val="27"/>
          <w:szCs w:val="27"/>
        </w:rPr>
        <w:t xml:space="preserve">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Pr="0057272C">
        <w:rPr>
          <w:sz w:val="27"/>
          <w:szCs w:val="27"/>
          <w:lang w:val="ru-RU"/>
        </w:rPr>
        <w:t xml:space="preserve">15 000 (пятнадцати тысяч) рублей.  </w:t>
      </w:r>
    </w:p>
    <w:p w:rsidR="00915D08" w:rsidRPr="0057272C" w:rsidP="00915D08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Штраф подлежит уплате в УФК по Ханты - Мансийскому автономному округу–Югре (</w:t>
      </w:r>
      <w:r w:rsidRPr="0057272C">
        <w:rPr>
          <w:color w:val="002060"/>
          <w:sz w:val="27"/>
          <w:szCs w:val="27"/>
        </w:rPr>
        <w:t>Администрация</w:t>
      </w:r>
      <w:r w:rsidRPr="0057272C">
        <w:rPr>
          <w:color w:val="002060"/>
          <w:sz w:val="27"/>
          <w:szCs w:val="27"/>
        </w:rPr>
        <w:t xml:space="preserve"> города Нижневартовска</w:t>
      </w:r>
      <w:r w:rsidRPr="0057272C">
        <w:rPr>
          <w:sz w:val="27"/>
          <w:szCs w:val="27"/>
        </w:rPr>
        <w:t xml:space="preserve">), ИНН 8603032896, КПП 860101001, </w:t>
      </w:r>
      <w:r w:rsidRPr="0057272C">
        <w:rPr>
          <w:color w:val="002060"/>
          <w:sz w:val="27"/>
          <w:szCs w:val="27"/>
        </w:rPr>
        <w:t>БИК УФК 007162163, Единый казначейский расчетный счет 40102810245370000007, номер казначейского счета 03100643000000018700, РКЦ Ханты-Мансийск//УФК по Ханты-Мансийскому автономному округу-Югре г. Хант</w:t>
      </w:r>
      <w:r w:rsidRPr="0057272C">
        <w:rPr>
          <w:color w:val="002060"/>
          <w:sz w:val="27"/>
          <w:szCs w:val="27"/>
        </w:rPr>
        <w:t xml:space="preserve">ы-Мансийск, </w:t>
      </w:r>
      <w:r w:rsidRPr="0057272C">
        <w:rPr>
          <w:sz w:val="27"/>
          <w:szCs w:val="27"/>
        </w:rPr>
        <w:t xml:space="preserve">КБК 04011601157010000140, ОКТМО 71875000, идентификатор </w:t>
      </w:r>
      <w:r w:rsidRPr="0057272C" w:rsidR="00AE60F4">
        <w:rPr>
          <w:sz w:val="27"/>
          <w:szCs w:val="27"/>
        </w:rPr>
        <w:t>0320209800</w:t>
      </w:r>
      <w:r w:rsidR="008A3788">
        <w:rPr>
          <w:sz w:val="27"/>
          <w:szCs w:val="27"/>
        </w:rPr>
        <w:t>0</w:t>
      </w:r>
      <w:r w:rsidRPr="0057272C" w:rsidR="00AE60F4">
        <w:rPr>
          <w:sz w:val="27"/>
          <w:szCs w:val="27"/>
        </w:rPr>
        <w:t>0</w:t>
      </w:r>
      <w:r w:rsidR="008A3788">
        <w:rPr>
          <w:sz w:val="27"/>
          <w:szCs w:val="27"/>
        </w:rPr>
        <w:t>00000</w:t>
      </w:r>
      <w:r w:rsidRPr="0057272C" w:rsidR="003F2C9E">
        <w:rPr>
          <w:sz w:val="27"/>
          <w:szCs w:val="27"/>
        </w:rPr>
        <w:t>13450</w:t>
      </w:r>
      <w:r w:rsidRPr="0057272C" w:rsidR="004F2FD6">
        <w:rPr>
          <w:sz w:val="27"/>
          <w:szCs w:val="27"/>
        </w:rPr>
        <w:t>266</w:t>
      </w:r>
      <w:r w:rsidRPr="0057272C">
        <w:rPr>
          <w:sz w:val="27"/>
          <w:szCs w:val="27"/>
        </w:rPr>
        <w:t>.</w:t>
      </w:r>
    </w:p>
    <w:p w:rsidR="00915D08" w:rsidRPr="0057272C" w:rsidP="00915D08">
      <w:pPr>
        <w:ind w:right="-5"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57272C">
        <w:rPr>
          <w:sz w:val="27"/>
          <w:szCs w:val="27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915D08" w:rsidRPr="0057272C" w:rsidP="00915D08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57272C" w:rsidR="003F2C9E">
        <w:rPr>
          <w:sz w:val="27"/>
          <w:szCs w:val="27"/>
        </w:rPr>
        <w:t>5</w:t>
      </w:r>
      <w:r w:rsidRPr="0057272C">
        <w:rPr>
          <w:sz w:val="27"/>
          <w:szCs w:val="27"/>
        </w:rPr>
        <w:t xml:space="preserve"> Нижневартовского судебного района города ок</w:t>
      </w:r>
      <w:r w:rsidRPr="0057272C">
        <w:rPr>
          <w:sz w:val="27"/>
          <w:szCs w:val="27"/>
        </w:rPr>
        <w:t>ружного значения Нижневартовска Ханты - Мансийского автономного округа – Югры по адресу: г. Нижневартовск, ул. Нефтяников, д. 6, каб. 100.</w:t>
      </w:r>
    </w:p>
    <w:p w:rsidR="00915D08" w:rsidRPr="0057272C" w:rsidP="00915D08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>Неуплата административного штрафа в указанный законом срок влечет привлечение к административной ответственности по ч</w:t>
      </w:r>
      <w:r w:rsidRPr="0057272C">
        <w:rPr>
          <w:sz w:val="27"/>
          <w:szCs w:val="27"/>
        </w:rPr>
        <w:t xml:space="preserve">. 1 ст. 20.25 Кодекса РФ об административных правонарушениях. </w:t>
      </w:r>
    </w:p>
    <w:p w:rsidR="00A613B0" w:rsidRPr="0057272C" w:rsidP="00A613B0">
      <w:pPr>
        <w:ind w:firstLine="540"/>
        <w:jc w:val="both"/>
        <w:rPr>
          <w:sz w:val="27"/>
          <w:szCs w:val="27"/>
        </w:rPr>
      </w:pPr>
      <w:r w:rsidRPr="0057272C">
        <w:rPr>
          <w:sz w:val="27"/>
          <w:szCs w:val="27"/>
        </w:rPr>
        <w:t xml:space="preserve">Постановление может быть обжаловано в Нижневартовский городской суд в течение </w:t>
      </w:r>
      <w:r w:rsidRPr="0057272C">
        <w:rPr>
          <w:color w:val="7030A0"/>
          <w:sz w:val="27"/>
          <w:szCs w:val="27"/>
        </w:rPr>
        <w:t xml:space="preserve">десяти дней </w:t>
      </w:r>
      <w:r w:rsidRPr="0057272C">
        <w:rPr>
          <w:sz w:val="27"/>
          <w:szCs w:val="27"/>
        </w:rPr>
        <w:t xml:space="preserve">со дня вручения или получения копии постановления через мирового судью судебного участка № </w:t>
      </w:r>
      <w:r w:rsidRPr="0057272C" w:rsidR="003F2C9E">
        <w:rPr>
          <w:sz w:val="27"/>
          <w:szCs w:val="27"/>
        </w:rPr>
        <w:t>5</w:t>
      </w:r>
      <w:r w:rsidRPr="0057272C">
        <w:rPr>
          <w:sz w:val="27"/>
          <w:szCs w:val="27"/>
        </w:rPr>
        <w:t>.</w:t>
      </w:r>
    </w:p>
    <w:p w:rsidR="00A613B0" w:rsidRPr="0057272C" w:rsidP="00A613B0">
      <w:pPr>
        <w:ind w:firstLine="540"/>
        <w:jc w:val="both"/>
        <w:rPr>
          <w:sz w:val="27"/>
          <w:szCs w:val="27"/>
        </w:rPr>
      </w:pPr>
    </w:p>
    <w:p w:rsidR="003F2C9E" w:rsidRPr="0057272C" w:rsidP="003F2C9E">
      <w:pPr>
        <w:ind w:right="-5"/>
        <w:rPr>
          <w:rFonts w:eastAsia="MS Mincho"/>
          <w:bCs/>
          <w:sz w:val="27"/>
          <w:szCs w:val="27"/>
          <w:lang w:eastAsia="ru-RU"/>
        </w:rPr>
      </w:pPr>
      <w:r w:rsidRPr="0057272C">
        <w:rPr>
          <w:rFonts w:eastAsia="MS Mincho"/>
          <w:bCs/>
          <w:sz w:val="27"/>
          <w:szCs w:val="27"/>
          <w:lang w:eastAsia="ru-RU"/>
        </w:rPr>
        <w:t xml:space="preserve">Мировой </w:t>
      </w:r>
      <w:r w:rsidRPr="0057272C">
        <w:rPr>
          <w:rFonts w:eastAsia="MS Mincho"/>
          <w:bCs/>
          <w:sz w:val="27"/>
          <w:szCs w:val="27"/>
          <w:lang w:eastAsia="ru-RU"/>
        </w:rPr>
        <w:t>судья                                                                                      Т.А. Лаптева</w:t>
      </w:r>
    </w:p>
    <w:sectPr w:rsidSect="0057272C">
      <w:headerReference w:type="even" r:id="rId6"/>
      <w:headerReference w:type="default" r:id="rId7"/>
      <w:footerReference w:type="default" r:id="rId8"/>
      <w:pgSz w:w="11906" w:h="16838"/>
      <w:pgMar w:top="568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72C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8B7019" w:rsidR="008B7019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E57AF"/>
    <w:rsid w:val="001046B4"/>
    <w:rsid w:val="001060FA"/>
    <w:rsid w:val="00134AD2"/>
    <w:rsid w:val="00137304"/>
    <w:rsid w:val="00143FD6"/>
    <w:rsid w:val="00156F96"/>
    <w:rsid w:val="00183593"/>
    <w:rsid w:val="0018574D"/>
    <w:rsid w:val="001C1AC8"/>
    <w:rsid w:val="001C2E09"/>
    <w:rsid w:val="001F5682"/>
    <w:rsid w:val="0022343B"/>
    <w:rsid w:val="0022382F"/>
    <w:rsid w:val="0025169C"/>
    <w:rsid w:val="00255CEB"/>
    <w:rsid w:val="0027495D"/>
    <w:rsid w:val="00287F65"/>
    <w:rsid w:val="00295031"/>
    <w:rsid w:val="00296D9E"/>
    <w:rsid w:val="002B077B"/>
    <w:rsid w:val="002B7136"/>
    <w:rsid w:val="002F5AB4"/>
    <w:rsid w:val="003300E8"/>
    <w:rsid w:val="00331FD3"/>
    <w:rsid w:val="00344637"/>
    <w:rsid w:val="0035103B"/>
    <w:rsid w:val="003B25D6"/>
    <w:rsid w:val="003E361A"/>
    <w:rsid w:val="003F2C9E"/>
    <w:rsid w:val="00407BE7"/>
    <w:rsid w:val="00416E9A"/>
    <w:rsid w:val="00432360"/>
    <w:rsid w:val="004422D6"/>
    <w:rsid w:val="0045263D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57272C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A71D3"/>
    <w:rsid w:val="007E7CE6"/>
    <w:rsid w:val="007F62DC"/>
    <w:rsid w:val="00834010"/>
    <w:rsid w:val="00837B7F"/>
    <w:rsid w:val="00842F99"/>
    <w:rsid w:val="008641F4"/>
    <w:rsid w:val="008819D2"/>
    <w:rsid w:val="00891CC4"/>
    <w:rsid w:val="008A3788"/>
    <w:rsid w:val="008B7019"/>
    <w:rsid w:val="008C1007"/>
    <w:rsid w:val="008E1648"/>
    <w:rsid w:val="00915D08"/>
    <w:rsid w:val="00922388"/>
    <w:rsid w:val="00923CC5"/>
    <w:rsid w:val="00937D10"/>
    <w:rsid w:val="00953107"/>
    <w:rsid w:val="0096346F"/>
    <w:rsid w:val="00964D94"/>
    <w:rsid w:val="0096589A"/>
    <w:rsid w:val="009717E3"/>
    <w:rsid w:val="00995EAB"/>
    <w:rsid w:val="009D547B"/>
    <w:rsid w:val="009F3E76"/>
    <w:rsid w:val="00A050D9"/>
    <w:rsid w:val="00A47A0A"/>
    <w:rsid w:val="00A53AF3"/>
    <w:rsid w:val="00A613B0"/>
    <w:rsid w:val="00A6748D"/>
    <w:rsid w:val="00A77C24"/>
    <w:rsid w:val="00A8467B"/>
    <w:rsid w:val="00A92E6A"/>
    <w:rsid w:val="00AC16A0"/>
    <w:rsid w:val="00AC49A9"/>
    <w:rsid w:val="00AC57C8"/>
    <w:rsid w:val="00AE60F4"/>
    <w:rsid w:val="00AF6116"/>
    <w:rsid w:val="00B51089"/>
    <w:rsid w:val="00B652B2"/>
    <w:rsid w:val="00B77158"/>
    <w:rsid w:val="00B92432"/>
    <w:rsid w:val="00B95FBD"/>
    <w:rsid w:val="00BA28CB"/>
    <w:rsid w:val="00BC30C9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73ADD"/>
    <w:rsid w:val="00CA4627"/>
    <w:rsid w:val="00CF24CE"/>
    <w:rsid w:val="00D04141"/>
    <w:rsid w:val="00D04BE9"/>
    <w:rsid w:val="00D16A91"/>
    <w:rsid w:val="00D21D96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DE3BE9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0777-EEAA-4D69-9EDC-66D5E8B1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